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707" w14:textId="56AE22FA" w:rsidR="00695EF1" w:rsidRPr="002E7797" w:rsidRDefault="00097239" w:rsidP="00466A70">
      <w:pPr>
        <w:pStyle w:val="NoSpacing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Mathematics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Summer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 /</w:t>
      </w:r>
      <w:r w:rsidR="00C276D6" w:rsidRPr="002E7797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US"/>
        </w:rPr>
        <w:t xml:space="preserve"> 4</w:t>
      </w:r>
    </w:p>
    <w:p w14:paraId="0C4BB8D8" w14:textId="77777777" w:rsidR="00C276D6" w:rsidRPr="008359BB" w:rsidRDefault="00C276D6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4FFEED04" w14:textId="77777777" w:rsidR="009F0CDA" w:rsidRPr="008359BB" w:rsidRDefault="009F0CDA" w:rsidP="00466A70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8359BB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226C22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226C22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8359BB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1D0CA829" w:rsidR="00C276D6" w:rsidRPr="00226C22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6C22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226C22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226C22">
              <w:rPr>
                <w:rFonts w:ascii="Arial" w:hAnsi="Arial" w:cs="Arial"/>
                <w:sz w:val="24"/>
                <w:szCs w:val="24"/>
              </w:rPr>
              <w:t xml:space="preserve">and skills learned in </w:t>
            </w:r>
            <w:r w:rsidR="006C2FA8">
              <w:rPr>
                <w:rFonts w:ascii="Arial" w:hAnsi="Arial" w:cs="Arial"/>
                <w:sz w:val="24"/>
                <w:szCs w:val="24"/>
              </w:rPr>
              <w:t>Year 3</w:t>
            </w:r>
            <w:r w:rsidR="007A37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89BC2" w14:textId="5BDB4F8E" w:rsidR="00C276D6" w:rsidRPr="000039C3" w:rsidRDefault="00BA0EB4" w:rsidP="004D67CF">
            <w:pPr>
              <w:rPr>
                <w:rFonts w:ascii="Arial" w:hAnsi="Arial" w:cs="Arial"/>
                <w:sz w:val="24"/>
                <w:szCs w:val="24"/>
              </w:rPr>
            </w:pPr>
            <w:r w:rsidRPr="000039C3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be </w:t>
            </w:r>
            <w:r w:rsidR="00880CBF">
              <w:rPr>
                <w:rFonts w:ascii="Arial" w:hAnsi="Arial" w:cs="Arial"/>
                <w:sz w:val="24"/>
                <w:szCs w:val="24"/>
                <w:lang w:val="en-US"/>
              </w:rPr>
              <w:t xml:space="preserve">the mental </w:t>
            </w:r>
            <w:r w:rsidR="004A4DCB" w:rsidRPr="000039C3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880CBF">
              <w:rPr>
                <w:rFonts w:ascii="Arial" w:hAnsi="Arial" w:cs="Arial"/>
                <w:sz w:val="24"/>
                <w:szCs w:val="24"/>
              </w:rPr>
              <w:t>their multiplication tables</w:t>
            </w:r>
            <w:r w:rsidR="00BD1301" w:rsidRPr="000039C3">
              <w:rPr>
                <w:rFonts w:ascii="Arial" w:hAnsi="Arial" w:cs="Arial"/>
                <w:sz w:val="24"/>
                <w:szCs w:val="24"/>
              </w:rPr>
              <w:t>.</w:t>
            </w:r>
            <w:r w:rsidR="000039C3" w:rsidRPr="000039C3">
              <w:rPr>
                <w:rFonts w:ascii="Arial" w:hAnsi="Arial" w:cs="Arial"/>
                <w:sz w:val="24"/>
                <w:szCs w:val="24"/>
              </w:rPr>
              <w:t xml:space="preserve"> This term will also build on the children’s prior knowledge of </w:t>
            </w:r>
            <w:r w:rsidR="004D67CF">
              <w:rPr>
                <w:rFonts w:ascii="Arial" w:hAnsi="Arial" w:cs="Arial"/>
                <w:sz w:val="24"/>
                <w:szCs w:val="24"/>
              </w:rPr>
              <w:t>reading the time to the nearest minute and their understanding of the relationship between seconds, minutes, hours months and years, the names and properties of 2-D shapes, right angles and their understanding of how to interpret and draw bar graphs, pictograms and tables.</w:t>
            </w:r>
          </w:p>
        </w:tc>
      </w:tr>
      <w:tr w:rsidR="0059464E" w:rsidRPr="008359BB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A3711" w:rsidRPr="008359BB" w14:paraId="782DE19D" w14:textId="77777777" w:rsidTr="00C51E61">
        <w:tc>
          <w:tcPr>
            <w:tcW w:w="6974" w:type="dxa"/>
            <w:gridSpan w:val="2"/>
          </w:tcPr>
          <w:p w14:paraId="532AA177" w14:textId="274EAC68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Decimals</w:t>
            </w:r>
          </w:p>
          <w:p w14:paraId="5AAF74AD" w14:textId="7F89590F" w:rsidR="00880CB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Tenths</w:t>
            </w:r>
          </w:p>
          <w:p w14:paraId="346C29BD" w14:textId="2D5A4810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Hundredths</w:t>
            </w:r>
          </w:p>
          <w:p w14:paraId="7B8B488E" w14:textId="12D29596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Partition</w:t>
            </w:r>
          </w:p>
          <w:p w14:paraId="1D9168A4" w14:textId="77777777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Flexible partitioning</w:t>
            </w:r>
          </w:p>
          <w:p w14:paraId="7EB716A7" w14:textId="77777777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Compare</w:t>
            </w:r>
          </w:p>
          <w:p w14:paraId="38415D72" w14:textId="77777777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Order</w:t>
            </w:r>
          </w:p>
          <w:p w14:paraId="78EE87BE" w14:textId="77777777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Round</w:t>
            </w:r>
          </w:p>
          <w:p w14:paraId="65438B82" w14:textId="77777777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Halves</w:t>
            </w:r>
          </w:p>
          <w:p w14:paraId="7E56E740" w14:textId="77777777" w:rsidR="004D67CF" w:rsidRDefault="004D67CF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Quarters</w:t>
            </w:r>
          </w:p>
          <w:p w14:paraId="35228A83" w14:textId="77777777" w:rsidR="004D67CF" w:rsidRDefault="004D67CF" w:rsidP="004D67C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Analogue</w:t>
            </w:r>
          </w:p>
          <w:p w14:paraId="0928908B" w14:textId="77777777" w:rsidR="004D67CF" w:rsidRDefault="004D67CF" w:rsidP="004D67C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Digital</w:t>
            </w:r>
          </w:p>
          <w:p w14:paraId="743DECE0" w14:textId="77777777" w:rsidR="004D67CF" w:rsidRDefault="004D67CF" w:rsidP="004D67C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 and 12 hour clock</w:t>
            </w:r>
          </w:p>
          <w:p w14:paraId="06B5390D" w14:textId="77777777" w:rsidR="004D67CF" w:rsidRDefault="004D67CF" w:rsidP="004D67C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Leap Year</w:t>
            </w:r>
          </w:p>
          <w:p w14:paraId="7F14EB53" w14:textId="77777777" w:rsidR="004D67CF" w:rsidRDefault="004D67CF" w:rsidP="004D67C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Angles</w:t>
            </w:r>
          </w:p>
          <w:p w14:paraId="4B968393" w14:textId="77777777" w:rsidR="00D332CD" w:rsidRDefault="00D332CD" w:rsidP="004D67C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Acute angles</w:t>
            </w:r>
          </w:p>
          <w:p w14:paraId="7F8EA43E" w14:textId="77777777" w:rsidR="004D67CF" w:rsidRDefault="00D332CD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Obtuse angles</w:t>
            </w:r>
          </w:p>
          <w:p w14:paraId="065FE130" w14:textId="77777777" w:rsidR="00D332CD" w:rsidRDefault="00D332CD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Polygons</w:t>
            </w:r>
          </w:p>
          <w:p w14:paraId="13AF32FA" w14:textId="70C666BA" w:rsidR="00D332CD" w:rsidRDefault="00D332CD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Regular</w:t>
            </w:r>
          </w:p>
          <w:p w14:paraId="1AA40244" w14:textId="77777777" w:rsidR="00D332CD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Irregular </w:t>
            </w:r>
          </w:p>
          <w:p w14:paraId="2F0C077A" w14:textId="20F7A214" w:rsidR="00D332CD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Equilateral triangle</w:t>
            </w:r>
          </w:p>
          <w:p w14:paraId="3EF68E2B" w14:textId="0411BDBB" w:rsidR="00D332CD" w:rsidRDefault="00D332CD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14:paraId="64CD599A" w14:textId="73C7D88A" w:rsidR="004D67CF" w:rsidRDefault="004D67CF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Isosceles triangle</w:t>
            </w:r>
          </w:p>
          <w:p w14:paraId="0ED2B6DB" w14:textId="2CD31DDC" w:rsidR="004D67CF" w:rsidRDefault="004D67CF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Scalene triangle</w:t>
            </w:r>
          </w:p>
          <w:p w14:paraId="76E354D2" w14:textId="77777777" w:rsidR="004D67CF" w:rsidRDefault="004D67CF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Right-angled triangle</w:t>
            </w:r>
          </w:p>
          <w:p w14:paraId="248CCF54" w14:textId="77777777" w:rsidR="004D67CF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Square</w:t>
            </w:r>
          </w:p>
          <w:p w14:paraId="2C91B773" w14:textId="77777777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Rectangle</w:t>
            </w:r>
          </w:p>
          <w:p w14:paraId="3C0B5F93" w14:textId="1B5E6990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Rhombus</w:t>
            </w:r>
          </w:p>
          <w:p w14:paraId="10048704" w14:textId="0E99DF36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Parallelogram</w:t>
            </w:r>
          </w:p>
          <w:p w14:paraId="4014D284" w14:textId="53D9CCB4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Trapezium</w:t>
            </w:r>
          </w:p>
          <w:p w14:paraId="658EF1B3" w14:textId="74C59796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Kite</w:t>
            </w:r>
          </w:p>
          <w:p w14:paraId="37A85F1D" w14:textId="5EEE2320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Heptagon</w:t>
            </w:r>
          </w:p>
          <w:p w14:paraId="1038CD94" w14:textId="6E33584A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Pentagons</w:t>
            </w:r>
          </w:p>
          <w:p w14:paraId="42CF118F" w14:textId="0F08498B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Octagons</w:t>
            </w:r>
          </w:p>
          <w:p w14:paraId="4BFA0DB9" w14:textId="2A68267E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Hexagons</w:t>
            </w:r>
          </w:p>
          <w:p w14:paraId="78997ED2" w14:textId="1681F20A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Nonagons</w:t>
            </w:r>
          </w:p>
          <w:p w14:paraId="5B555671" w14:textId="0B4E9CEA" w:rsidR="00D332CD" w:rsidRDefault="00D332CD" w:rsidP="00880CB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Charts</w:t>
            </w:r>
          </w:p>
          <w:p w14:paraId="1E8E6D33" w14:textId="77777777" w:rsidR="00D332CD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 of</w:t>
            </w:r>
          </w:p>
          <w:p w14:paraId="70EF80F3" w14:textId="2E6BB9D4" w:rsidR="00D332CD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Difference between</w:t>
            </w:r>
          </w:p>
          <w:p w14:paraId="038952AE" w14:textId="77777777" w:rsidR="00D332CD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Line Graphs</w:t>
            </w:r>
          </w:p>
          <w:p w14:paraId="4CDFAB53" w14:textId="77777777" w:rsidR="00D332CD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Coordinates</w:t>
            </w:r>
          </w:p>
          <w:p w14:paraId="7B293D9E" w14:textId="214E155E" w:rsidR="00D332CD" w:rsidRPr="00226C22" w:rsidRDefault="00D332CD" w:rsidP="00D332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Translate</w:t>
            </w:r>
          </w:p>
        </w:tc>
      </w:tr>
      <w:tr w:rsidR="0059464E" w:rsidRPr="008359BB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52ED3CD6" w:rsidR="0059464E" w:rsidRPr="00226C22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226C22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8359BB" w14:paraId="1532AD57" w14:textId="77777777" w:rsidTr="00CA6729">
        <w:tc>
          <w:tcPr>
            <w:tcW w:w="2689" w:type="dxa"/>
          </w:tcPr>
          <w:p w14:paraId="47587EB5" w14:textId="70B4F9DE" w:rsidR="00CA6729" w:rsidRPr="00097239" w:rsidRDefault="00880CBF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097239">
              <w:rPr>
                <w:rFonts w:ascii="Arial" w:hAnsi="Arial" w:cs="Arial"/>
                <w:b/>
                <w:sz w:val="24"/>
                <w:szCs w:val="24"/>
                <w:lang w:val="en-US"/>
              </w:rPr>
              <w:t>Fractions</w:t>
            </w:r>
          </w:p>
        </w:tc>
        <w:tc>
          <w:tcPr>
            <w:tcW w:w="11259" w:type="dxa"/>
            <w:gridSpan w:val="2"/>
          </w:tcPr>
          <w:p w14:paraId="6FCAC8BB" w14:textId="77777777" w:rsidR="00880CBF" w:rsidRDefault="00880CBF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add and subtract fractions with the same denominator.</w:t>
            </w:r>
          </w:p>
          <w:p w14:paraId="233376F4" w14:textId="0014C06C" w:rsidR="00880CBF" w:rsidRDefault="00880CBF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count up and down in hundredths.</w:t>
            </w:r>
          </w:p>
          <w:p w14:paraId="45FCFAEA" w14:textId="68787EEB" w:rsidR="00880CBF" w:rsidRPr="00BD1301" w:rsidRDefault="00880CBF" w:rsidP="00BD1301">
            <w:pPr>
              <w:pStyle w:val="ListParagraph"/>
              <w:numPr>
                <w:ilvl w:val="0"/>
                <w:numId w:val="33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solve problems by calculating fractions of amounts, including non-unit fractions.</w:t>
            </w:r>
          </w:p>
        </w:tc>
      </w:tr>
      <w:tr w:rsidR="00CA6729" w:rsidRPr="008359BB" w14:paraId="5C4DA579" w14:textId="77777777" w:rsidTr="00CA6729">
        <w:tc>
          <w:tcPr>
            <w:tcW w:w="2689" w:type="dxa"/>
          </w:tcPr>
          <w:p w14:paraId="54309D46" w14:textId="2F304DF3" w:rsidR="00CA6729" w:rsidRPr="00097239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239">
              <w:rPr>
                <w:rFonts w:ascii="Arial" w:hAnsi="Arial" w:cs="Arial"/>
                <w:b/>
                <w:sz w:val="24"/>
                <w:szCs w:val="24"/>
                <w:lang w:val="en-US"/>
              </w:rPr>
              <w:t>Decimals</w:t>
            </w:r>
          </w:p>
        </w:tc>
        <w:tc>
          <w:tcPr>
            <w:tcW w:w="11259" w:type="dxa"/>
            <w:gridSpan w:val="2"/>
          </w:tcPr>
          <w:p w14:paraId="2304E850" w14:textId="088142B9" w:rsidR="00BD1301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tenths as decimals and on a place value chart.</w:t>
            </w:r>
          </w:p>
          <w:p w14:paraId="53AD46E2" w14:textId="77777777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hundredths as decimals and on a place value chart.</w:t>
            </w:r>
          </w:p>
          <w:p w14:paraId="7179D544" w14:textId="77777777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a whole with tenths and hundredths.</w:t>
            </w:r>
          </w:p>
          <w:p w14:paraId="537739A2" w14:textId="77777777" w:rsidR="00530925" w:rsidRDefault="00530925" w:rsidP="00530925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partition decimals.</w:t>
            </w:r>
          </w:p>
          <w:p w14:paraId="0F75A145" w14:textId="77777777" w:rsidR="00530925" w:rsidRDefault="00530925" w:rsidP="00530925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compare decimals.</w:t>
            </w:r>
          </w:p>
          <w:p w14:paraId="60CE6015" w14:textId="77777777" w:rsidR="00530925" w:rsidRDefault="00530925" w:rsidP="00530925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order decimals.</w:t>
            </w:r>
          </w:p>
          <w:p w14:paraId="0924AAB8" w14:textId="77777777" w:rsidR="00530925" w:rsidRDefault="00530925" w:rsidP="00530925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round decimals to the nearest whole number.</w:t>
            </w:r>
          </w:p>
          <w:p w14:paraId="0BDA99DF" w14:textId="0F79B1E2" w:rsidR="00530925" w:rsidRPr="00530925" w:rsidRDefault="00530925" w:rsidP="00530925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halves and quarters as decimals.</w:t>
            </w:r>
          </w:p>
        </w:tc>
      </w:tr>
      <w:tr w:rsidR="00530925" w:rsidRPr="008359BB" w14:paraId="69BC991A" w14:textId="77777777" w:rsidTr="00CA6729">
        <w:tc>
          <w:tcPr>
            <w:tcW w:w="2689" w:type="dxa"/>
          </w:tcPr>
          <w:p w14:paraId="56B9391F" w14:textId="5EB60685" w:rsidR="00530925" w:rsidRPr="00097239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239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259" w:type="dxa"/>
            <w:gridSpan w:val="2"/>
          </w:tcPr>
          <w:p w14:paraId="241A6D27" w14:textId="32F8FD21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D67CF">
              <w:rPr>
                <w:rFonts w:ascii="Arial" w:hAnsi="Arial" w:cs="Arial"/>
                <w:sz w:val="24"/>
                <w:szCs w:val="24"/>
              </w:rPr>
              <w:t xml:space="preserve">recap </w:t>
            </w:r>
            <w:r>
              <w:rPr>
                <w:rFonts w:ascii="Arial" w:hAnsi="Arial" w:cs="Arial"/>
                <w:sz w:val="24"/>
                <w:szCs w:val="24"/>
              </w:rPr>
              <w:t>tell</w:t>
            </w:r>
            <w:r w:rsidR="004D67CF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time to the nearest minute.</w:t>
            </w:r>
          </w:p>
          <w:p w14:paraId="2683F810" w14:textId="77777777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convert between years, months, weeks, days, hours, minutes and seconds.</w:t>
            </w:r>
          </w:p>
          <w:p w14:paraId="7200B80B" w14:textId="197A27CD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convert between analogue and digital times.</w:t>
            </w:r>
          </w:p>
          <w:p w14:paraId="1AD147CF" w14:textId="1C2DC761" w:rsidR="00530925" w:rsidRPr="00BD1301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convert to and from the 24 hour clock.</w:t>
            </w:r>
          </w:p>
        </w:tc>
      </w:tr>
      <w:tr w:rsidR="00530925" w:rsidRPr="008359BB" w14:paraId="12114915" w14:textId="77777777" w:rsidTr="00CA6729">
        <w:tc>
          <w:tcPr>
            <w:tcW w:w="2689" w:type="dxa"/>
          </w:tcPr>
          <w:p w14:paraId="610B1A6C" w14:textId="24DA2FBC" w:rsidR="00530925" w:rsidRPr="00097239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239">
              <w:rPr>
                <w:rFonts w:ascii="Arial" w:hAnsi="Arial" w:cs="Arial"/>
                <w:b/>
                <w:sz w:val="24"/>
                <w:szCs w:val="24"/>
                <w:lang w:val="en-US"/>
              </w:rPr>
              <w:t>Shape</w:t>
            </w:r>
          </w:p>
        </w:tc>
        <w:tc>
          <w:tcPr>
            <w:tcW w:w="11259" w:type="dxa"/>
            <w:gridSpan w:val="2"/>
          </w:tcPr>
          <w:p w14:paraId="698C6692" w14:textId="77777777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angles as turns.</w:t>
            </w:r>
          </w:p>
          <w:p w14:paraId="03CCA4D7" w14:textId="77777777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angles.</w:t>
            </w:r>
          </w:p>
          <w:p w14:paraId="4602204B" w14:textId="77777777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compare and order angles.</w:t>
            </w:r>
          </w:p>
          <w:p w14:paraId="7ABAFE4B" w14:textId="1BB3C0D5" w:rsidR="00530925" w:rsidRDefault="00530925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recognise, name and know the properties of the different triangles</w:t>
            </w:r>
            <w:r w:rsidR="004D67CF">
              <w:rPr>
                <w:rFonts w:ascii="Arial" w:hAnsi="Arial" w:cs="Arial"/>
                <w:sz w:val="24"/>
                <w:szCs w:val="24"/>
              </w:rPr>
              <w:t>, quadrilaterals and polygons.</w:t>
            </w:r>
          </w:p>
          <w:p w14:paraId="504F5937" w14:textId="7336E1B4" w:rsidR="004D67CF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and draw lines of symmetry.</w:t>
            </w:r>
          </w:p>
          <w:p w14:paraId="0201972D" w14:textId="28A58EB4" w:rsidR="004D67CF" w:rsidRPr="00BD1301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complete a symmetrical figure. </w:t>
            </w:r>
          </w:p>
        </w:tc>
      </w:tr>
      <w:tr w:rsidR="00530925" w:rsidRPr="008359BB" w14:paraId="0A230DD7" w14:textId="77777777" w:rsidTr="00CA6729">
        <w:tc>
          <w:tcPr>
            <w:tcW w:w="2689" w:type="dxa"/>
          </w:tcPr>
          <w:p w14:paraId="66C02545" w14:textId="0F1E7883" w:rsidR="00530925" w:rsidRPr="00097239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239">
              <w:rPr>
                <w:rFonts w:ascii="Arial" w:hAnsi="Arial" w:cs="Arial"/>
                <w:b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11259" w:type="dxa"/>
            <w:gridSpan w:val="2"/>
          </w:tcPr>
          <w:p w14:paraId="3FF840CB" w14:textId="04720581" w:rsidR="00530925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interpret charts</w:t>
            </w:r>
          </w:p>
          <w:p w14:paraId="3D0679E0" w14:textId="77777777" w:rsidR="004D67CF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answer comparison, sum and difference questions.</w:t>
            </w:r>
          </w:p>
          <w:p w14:paraId="7462B768" w14:textId="21E74A52" w:rsidR="004D67CF" w:rsidRPr="004D67CF" w:rsidRDefault="004D67CF" w:rsidP="004D67CF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interpret and draw line graphs.</w:t>
            </w:r>
          </w:p>
        </w:tc>
      </w:tr>
      <w:tr w:rsidR="00530925" w:rsidRPr="008359BB" w14:paraId="0590B777" w14:textId="77777777" w:rsidTr="00CA6729">
        <w:tc>
          <w:tcPr>
            <w:tcW w:w="2689" w:type="dxa"/>
          </w:tcPr>
          <w:p w14:paraId="2D6D9B9A" w14:textId="2A8AB8C7" w:rsidR="00530925" w:rsidRPr="00097239" w:rsidRDefault="0053092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97239"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and Direction</w:t>
            </w:r>
          </w:p>
        </w:tc>
        <w:tc>
          <w:tcPr>
            <w:tcW w:w="11259" w:type="dxa"/>
            <w:gridSpan w:val="2"/>
          </w:tcPr>
          <w:p w14:paraId="43AE2EEE" w14:textId="77777777" w:rsidR="00530925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describe position using coordinates.</w:t>
            </w:r>
          </w:p>
          <w:p w14:paraId="681B1F8F" w14:textId="77777777" w:rsidR="004D67CF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plot coordinates.</w:t>
            </w:r>
          </w:p>
          <w:p w14:paraId="15B4B4EE" w14:textId="77777777" w:rsidR="004D67CF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draw 2-D shapes on a grid.</w:t>
            </w:r>
          </w:p>
          <w:p w14:paraId="40600818" w14:textId="77777777" w:rsidR="004D67CF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translate on a grid.</w:t>
            </w:r>
          </w:p>
          <w:p w14:paraId="60F72D46" w14:textId="481F677D" w:rsidR="004D67CF" w:rsidRPr="00BD1301" w:rsidRDefault="004D67CF" w:rsidP="00BD1301">
            <w:pPr>
              <w:pStyle w:val="ListParagraph"/>
              <w:numPr>
                <w:ilvl w:val="0"/>
                <w:numId w:val="34"/>
              </w:numPr>
              <w:ind w:left="14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describe a translation on a grid.</w:t>
            </w:r>
          </w:p>
        </w:tc>
      </w:tr>
      <w:bookmarkEnd w:id="0"/>
      <w:tr w:rsidR="00304BC6" w:rsidRPr="008359BB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3F2368B8" w:rsidR="00304BC6" w:rsidRPr="00226C22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6C2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Assessment milestones</w:t>
            </w:r>
          </w:p>
        </w:tc>
      </w:tr>
      <w:tr w:rsidR="00276131" w:rsidRPr="00BC2B40" w14:paraId="000C9206" w14:textId="77777777" w:rsidTr="00751D4F">
        <w:tc>
          <w:tcPr>
            <w:tcW w:w="6974" w:type="dxa"/>
            <w:gridSpan w:val="2"/>
          </w:tcPr>
          <w:p w14:paraId="0682213F" w14:textId="5DF27A53" w:rsidR="00276131" w:rsidRPr="00226C22" w:rsidRDefault="004D73C5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Mathematical </w:t>
            </w:r>
            <w:r w:rsidR="007A3711">
              <w:rPr>
                <w:rFonts w:ascii="Arial" w:hAnsi="Arial" w:cs="Arial"/>
                <w:b/>
                <w:sz w:val="24"/>
                <w:szCs w:val="24"/>
                <w:lang w:val="en-US"/>
              </w:rPr>
              <w:t>Skills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00FC0690" w14:textId="04C4F192" w:rsidR="000039C3" w:rsidRDefault="00D332CD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interpret and present data using charts and line graphs.</w:t>
            </w:r>
          </w:p>
          <w:p w14:paraId="127422F1" w14:textId="0C6D342C" w:rsidR="00D332CD" w:rsidRDefault="00D332CD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plot specified points and draw sides to complete a polygon.</w:t>
            </w:r>
          </w:p>
          <w:p w14:paraId="54772D70" w14:textId="3F206FDD" w:rsidR="00D332CD" w:rsidRDefault="000D0D9E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complete a symmetrical figure.</w:t>
            </w:r>
          </w:p>
          <w:p w14:paraId="063B40C7" w14:textId="4C637368" w:rsidR="000D0D9E" w:rsidRDefault="000D0D9E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round decimals to the nearest whole number.</w:t>
            </w:r>
          </w:p>
          <w:p w14:paraId="1E4F295C" w14:textId="5EDA41C8" w:rsidR="000D0D9E" w:rsidRDefault="000D0D9E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 compare numbers with the same number of decimal places.</w:t>
            </w:r>
          </w:p>
          <w:p w14:paraId="761A72CA" w14:textId="33C20DEE" w:rsidR="000D0D9E" w:rsidRPr="00BD1301" w:rsidRDefault="000D0D9E" w:rsidP="000039C3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solve simple money and measure problems involving decimals.</w:t>
            </w:r>
          </w:p>
          <w:p w14:paraId="73B4FFCC" w14:textId="77777777" w:rsidR="000039C3" w:rsidRPr="000039C3" w:rsidRDefault="000039C3" w:rsidP="00003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816B8" w14:textId="0C621D99" w:rsidR="004D73C5" w:rsidRPr="000039C3" w:rsidRDefault="004D73C5" w:rsidP="00003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0CBA103" w14:textId="58BF4DD4" w:rsidR="00036EEB" w:rsidRPr="00226C22" w:rsidRDefault="004D73C5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Mathematical</w:t>
            </w:r>
            <w:r w:rsidR="00BA0EB4" w:rsidRPr="00226C2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59224378" w14:textId="77777777" w:rsidR="000039C3" w:rsidRDefault="000039C3" w:rsidP="000039C3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</w:t>
            </w:r>
            <w:r w:rsidRPr="00BD1301">
              <w:rPr>
                <w:rFonts w:ascii="Arial" w:hAnsi="Arial" w:cs="Arial"/>
                <w:sz w:val="24"/>
                <w:szCs w:val="24"/>
              </w:rPr>
              <w:t>ecall multiplication and division facts for multiplication tables up to 12 × 12</w:t>
            </w:r>
          </w:p>
          <w:p w14:paraId="66CAE394" w14:textId="77777777" w:rsidR="00243676" w:rsidRDefault="00D332CD" w:rsidP="000039C3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describe movements between points as translations.</w:t>
            </w:r>
          </w:p>
          <w:p w14:paraId="5A70364B" w14:textId="77777777" w:rsidR="00D332CD" w:rsidRDefault="00D332CD" w:rsidP="000039C3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read, write and convert </w:t>
            </w:r>
            <w:r w:rsidR="000D0D9E">
              <w:rPr>
                <w:rFonts w:ascii="Arial" w:hAnsi="Arial" w:cs="Arial"/>
                <w:sz w:val="24"/>
                <w:szCs w:val="24"/>
              </w:rPr>
              <w:t>time</w:t>
            </w:r>
            <w:r>
              <w:rPr>
                <w:rFonts w:ascii="Arial" w:hAnsi="Arial" w:cs="Arial"/>
                <w:sz w:val="24"/>
                <w:szCs w:val="24"/>
              </w:rPr>
              <w:t xml:space="preserve"> between analogue </w:t>
            </w:r>
            <w:r w:rsidR="000D0D9E">
              <w:rPr>
                <w:rFonts w:ascii="Arial" w:hAnsi="Arial" w:cs="Arial"/>
                <w:sz w:val="24"/>
                <w:szCs w:val="24"/>
              </w:rPr>
              <w:t>and digital 12- and 24-hour clocks.</w:t>
            </w:r>
          </w:p>
          <w:p w14:paraId="194F6E69" w14:textId="77777777" w:rsidR="000D0D9E" w:rsidRDefault="000D0D9E" w:rsidP="000039C3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compare and classify 2-D shapes including quadrilaterals and triangles based on their properties.</w:t>
            </w:r>
          </w:p>
          <w:p w14:paraId="2A30D5F4" w14:textId="77777777" w:rsidR="000D0D9E" w:rsidRDefault="000D0D9E" w:rsidP="000039C3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acute and obtuse angles.</w:t>
            </w:r>
          </w:p>
          <w:p w14:paraId="6A869DEE" w14:textId="77777777" w:rsidR="000D0D9E" w:rsidRDefault="000D0D9E" w:rsidP="000039C3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and write decimal equivalents of any number of tenths and hundredths.</w:t>
            </w:r>
          </w:p>
          <w:p w14:paraId="2881364B" w14:textId="666CAAF5" w:rsidR="000D0D9E" w:rsidRPr="000D0D9E" w:rsidRDefault="000D0D9E" w:rsidP="000D0D9E">
            <w:pPr>
              <w:pStyle w:val="ListParagraph"/>
              <w:numPr>
                <w:ilvl w:val="0"/>
                <w:numId w:val="12"/>
              </w:numPr>
              <w:ind w:left="114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recognise and write decimal equivalents to ¼, ½ and ¾.</w:t>
            </w:r>
          </w:p>
        </w:tc>
      </w:tr>
    </w:tbl>
    <w:p w14:paraId="7D4A9B2F" w14:textId="4965AC3F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0E4"/>
    <w:multiLevelType w:val="hybridMultilevel"/>
    <w:tmpl w:val="28606A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90C7C"/>
    <w:multiLevelType w:val="hybridMultilevel"/>
    <w:tmpl w:val="55AE46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61621"/>
    <w:multiLevelType w:val="hybridMultilevel"/>
    <w:tmpl w:val="5B6CBA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0A0151"/>
    <w:multiLevelType w:val="hybridMultilevel"/>
    <w:tmpl w:val="41F268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C6A25"/>
    <w:multiLevelType w:val="hybridMultilevel"/>
    <w:tmpl w:val="C66CCD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11"/>
  </w:num>
  <w:num w:numId="5">
    <w:abstractNumId w:val="40"/>
  </w:num>
  <w:num w:numId="6">
    <w:abstractNumId w:val="18"/>
  </w:num>
  <w:num w:numId="7">
    <w:abstractNumId w:val="39"/>
  </w:num>
  <w:num w:numId="8">
    <w:abstractNumId w:val="1"/>
  </w:num>
  <w:num w:numId="9">
    <w:abstractNumId w:val="28"/>
  </w:num>
  <w:num w:numId="10">
    <w:abstractNumId w:val="31"/>
  </w:num>
  <w:num w:numId="11">
    <w:abstractNumId w:val="25"/>
  </w:num>
  <w:num w:numId="12">
    <w:abstractNumId w:val="22"/>
  </w:num>
  <w:num w:numId="13">
    <w:abstractNumId w:val="10"/>
  </w:num>
  <w:num w:numId="14">
    <w:abstractNumId w:val="2"/>
  </w:num>
  <w:num w:numId="15">
    <w:abstractNumId w:val="21"/>
  </w:num>
  <w:num w:numId="16">
    <w:abstractNumId w:val="19"/>
  </w:num>
  <w:num w:numId="17">
    <w:abstractNumId w:val="12"/>
  </w:num>
  <w:num w:numId="18">
    <w:abstractNumId w:val="33"/>
  </w:num>
  <w:num w:numId="19">
    <w:abstractNumId w:val="34"/>
  </w:num>
  <w:num w:numId="20">
    <w:abstractNumId w:val="30"/>
  </w:num>
  <w:num w:numId="21">
    <w:abstractNumId w:val="27"/>
  </w:num>
  <w:num w:numId="22">
    <w:abstractNumId w:val="4"/>
  </w:num>
  <w:num w:numId="23">
    <w:abstractNumId w:val="38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6"/>
  </w:num>
  <w:num w:numId="29">
    <w:abstractNumId w:val="26"/>
  </w:num>
  <w:num w:numId="30">
    <w:abstractNumId w:val="8"/>
  </w:num>
  <w:num w:numId="31">
    <w:abstractNumId w:val="32"/>
  </w:num>
  <w:num w:numId="32">
    <w:abstractNumId w:val="0"/>
  </w:num>
  <w:num w:numId="33">
    <w:abstractNumId w:val="13"/>
  </w:num>
  <w:num w:numId="34">
    <w:abstractNumId w:val="14"/>
  </w:num>
  <w:num w:numId="35">
    <w:abstractNumId w:val="9"/>
  </w:num>
  <w:num w:numId="36">
    <w:abstractNumId w:val="23"/>
  </w:num>
  <w:num w:numId="37">
    <w:abstractNumId w:val="17"/>
  </w:num>
  <w:num w:numId="38">
    <w:abstractNumId w:val="35"/>
  </w:num>
  <w:num w:numId="39">
    <w:abstractNumId w:val="20"/>
  </w:num>
  <w:num w:numId="40">
    <w:abstractNumId w:val="2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039C3"/>
    <w:rsid w:val="000141E7"/>
    <w:rsid w:val="00036EEB"/>
    <w:rsid w:val="00075BCB"/>
    <w:rsid w:val="00097239"/>
    <w:rsid w:val="000C7B21"/>
    <w:rsid w:val="000D0D9E"/>
    <w:rsid w:val="001649BF"/>
    <w:rsid w:val="00226C22"/>
    <w:rsid w:val="00243676"/>
    <w:rsid w:val="00276131"/>
    <w:rsid w:val="002E7797"/>
    <w:rsid w:val="00304BC6"/>
    <w:rsid w:val="00333B84"/>
    <w:rsid w:val="00342CA9"/>
    <w:rsid w:val="00370460"/>
    <w:rsid w:val="003D3FF5"/>
    <w:rsid w:val="00400830"/>
    <w:rsid w:val="00466A70"/>
    <w:rsid w:val="004A4DCB"/>
    <w:rsid w:val="004A53B1"/>
    <w:rsid w:val="004D67CF"/>
    <w:rsid w:val="004D73C5"/>
    <w:rsid w:val="004E1F59"/>
    <w:rsid w:val="004E35A3"/>
    <w:rsid w:val="004F652A"/>
    <w:rsid w:val="00513921"/>
    <w:rsid w:val="005209CE"/>
    <w:rsid w:val="00525EC6"/>
    <w:rsid w:val="00530925"/>
    <w:rsid w:val="00530CC8"/>
    <w:rsid w:val="0053540F"/>
    <w:rsid w:val="0059464E"/>
    <w:rsid w:val="005D61C2"/>
    <w:rsid w:val="005E4506"/>
    <w:rsid w:val="005F1733"/>
    <w:rsid w:val="0060418E"/>
    <w:rsid w:val="006104C4"/>
    <w:rsid w:val="00614951"/>
    <w:rsid w:val="006211EB"/>
    <w:rsid w:val="006846FF"/>
    <w:rsid w:val="00695EF1"/>
    <w:rsid w:val="006C2FA8"/>
    <w:rsid w:val="007470C9"/>
    <w:rsid w:val="00754742"/>
    <w:rsid w:val="00757C13"/>
    <w:rsid w:val="007A3711"/>
    <w:rsid w:val="007B3CFE"/>
    <w:rsid w:val="007D6B96"/>
    <w:rsid w:val="007F224C"/>
    <w:rsid w:val="00827431"/>
    <w:rsid w:val="008359BB"/>
    <w:rsid w:val="00850A8B"/>
    <w:rsid w:val="00877378"/>
    <w:rsid w:val="00880CBF"/>
    <w:rsid w:val="00914639"/>
    <w:rsid w:val="00937A94"/>
    <w:rsid w:val="009F0CDA"/>
    <w:rsid w:val="00A22B07"/>
    <w:rsid w:val="00A3232C"/>
    <w:rsid w:val="00A80DA5"/>
    <w:rsid w:val="00AB4F5F"/>
    <w:rsid w:val="00B14CF4"/>
    <w:rsid w:val="00B37364"/>
    <w:rsid w:val="00BA0EB4"/>
    <w:rsid w:val="00BC2B40"/>
    <w:rsid w:val="00BD1301"/>
    <w:rsid w:val="00C25BF2"/>
    <w:rsid w:val="00C276D6"/>
    <w:rsid w:val="00C521D0"/>
    <w:rsid w:val="00C7741D"/>
    <w:rsid w:val="00C82489"/>
    <w:rsid w:val="00C856F9"/>
    <w:rsid w:val="00CA6729"/>
    <w:rsid w:val="00CB3B0A"/>
    <w:rsid w:val="00CD24B2"/>
    <w:rsid w:val="00CE0CCD"/>
    <w:rsid w:val="00D0165D"/>
    <w:rsid w:val="00D332CD"/>
    <w:rsid w:val="00EA78D9"/>
    <w:rsid w:val="00EC136F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E18BCE75-C895-472E-A22F-5BFF5A5B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8AE9-FC6B-45C0-92CC-3EB8E8D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Tattersall</dc:creator>
  <cp:lastModifiedBy>Miss Sawkins</cp:lastModifiedBy>
  <cp:revision>4</cp:revision>
  <dcterms:created xsi:type="dcterms:W3CDTF">2024-03-17T15:19:00Z</dcterms:created>
  <dcterms:modified xsi:type="dcterms:W3CDTF">2024-05-02T10:22:00Z</dcterms:modified>
</cp:coreProperties>
</file>